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7D994" w14:textId="198AF6BE" w:rsidR="00874286" w:rsidRPr="001929DC" w:rsidRDefault="009005D1" w:rsidP="001929DC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Dielectric Susceptibility</w:t>
      </w:r>
    </w:p>
    <w:p w14:paraId="423DDE49" w14:textId="11C0E5FB" w:rsidR="001929DC" w:rsidRDefault="001929DC" w:rsidP="001929DC">
      <w:pPr>
        <w:pStyle w:val="NoSpacing"/>
      </w:pPr>
    </w:p>
    <w:p w14:paraId="30438D33" w14:textId="77777777" w:rsidR="00CD0735" w:rsidRDefault="00CD0735" w:rsidP="001929DC">
      <w:pPr>
        <w:pStyle w:val="NoSpacing"/>
      </w:pPr>
    </w:p>
    <w:p w14:paraId="1BBFBCFD" w14:textId="2CA35A03" w:rsidR="00CD0735" w:rsidRDefault="00CD0735" w:rsidP="001929DC">
      <w:pPr>
        <w:pStyle w:val="NoSpacing"/>
        <w:rPr>
          <w:sz w:val="24"/>
          <w:szCs w:val="24"/>
        </w:rPr>
      </w:pPr>
      <w:bookmarkStart w:id="0" w:name="_Hlk15934429"/>
      <w:r>
        <w:rPr>
          <w:sz w:val="24"/>
          <w:szCs w:val="24"/>
        </w:rPr>
        <w:t xml:space="preserve">Want to consider the RTA model approximation for working out some time-dependent things we proferred in the EM folder, like the conductivity and dielectric susceptibility.  So, </w:t>
      </w:r>
    </w:p>
    <w:p w14:paraId="2C4488C5" w14:textId="5C3FC7A1" w:rsidR="00FC32AC" w:rsidRDefault="00FC32AC" w:rsidP="001929DC">
      <w:pPr>
        <w:pStyle w:val="NoSpacing"/>
        <w:rPr>
          <w:sz w:val="24"/>
          <w:szCs w:val="24"/>
        </w:rPr>
      </w:pPr>
    </w:p>
    <w:p w14:paraId="3BD2513E" w14:textId="657D14B5" w:rsidR="00FC32AC" w:rsidRPr="00DC0A02" w:rsidRDefault="008A7329" w:rsidP="00FC32AC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Metals</w:t>
      </w:r>
    </w:p>
    <w:p w14:paraId="453D5A85" w14:textId="24157D83" w:rsidR="008A7329" w:rsidRDefault="008A7329" w:rsidP="008A732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examine the susceptibility from the perspective the MFT solution to the RTA equation, which we developed in a </w:t>
      </w:r>
      <w:r w:rsidR="009E4381">
        <w:rPr>
          <w:rFonts w:ascii="Calibri" w:hAnsi="Calibri" w:cs="Calibri"/>
        </w:rPr>
        <w:t>different</w:t>
      </w:r>
      <w:r>
        <w:rPr>
          <w:rFonts w:ascii="Calibri" w:hAnsi="Calibri" w:cs="Calibri"/>
        </w:rPr>
        <w:t xml:space="preserve"> file</w:t>
      </w:r>
      <w:r w:rsidR="00DF3F9B">
        <w:rPr>
          <w:rFonts w:ascii="Calibri" w:hAnsi="Calibri" w:cs="Calibri"/>
        </w:rPr>
        <w:t xml:space="preserve"> – see Stat Mech Folder</w:t>
      </w:r>
      <w:r>
        <w:rPr>
          <w:rFonts w:ascii="Calibri" w:hAnsi="Calibri" w:cs="Calibri"/>
        </w:rPr>
        <w:t>.  So we found these two self-consistent equations:</w:t>
      </w:r>
    </w:p>
    <w:p w14:paraId="5DC671E9" w14:textId="77777777" w:rsidR="008A7329" w:rsidRDefault="008A7329" w:rsidP="008A7329">
      <w:pPr>
        <w:rPr>
          <w:rFonts w:ascii="Calibri" w:hAnsi="Calibri" w:cs="Calibri"/>
        </w:rPr>
      </w:pPr>
    </w:p>
    <w:p w14:paraId="210CF06E" w14:textId="77777777" w:rsidR="008A7329" w:rsidRDefault="008A7329" w:rsidP="008A7329">
      <w:pPr>
        <w:rPr>
          <w:rFonts w:ascii="Calibri" w:hAnsi="Calibri" w:cs="Calibri"/>
        </w:rPr>
      </w:pPr>
      <w:r w:rsidRPr="004E4FB9">
        <w:rPr>
          <w:rFonts w:ascii="Calibri" w:hAnsi="Calibri" w:cs="Calibri"/>
          <w:position w:val="-60"/>
        </w:rPr>
        <w:object w:dxaOrig="4160" w:dyaOrig="1320" w14:anchorId="355F2C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66pt" o:ole="" filled="t" fillcolor="#cfc">
            <v:imagedata r:id="rId4" o:title=""/>
          </v:shape>
          <o:OLEObject Type="Embed" ProgID="Equation.DSMT4" ShapeID="_x0000_i1025" DrawAspect="Content" ObjectID="_1796415404" r:id="rId5"/>
        </w:object>
      </w:r>
    </w:p>
    <w:p w14:paraId="08707E50" w14:textId="77777777" w:rsidR="008A7329" w:rsidRDefault="008A7329" w:rsidP="008A7329">
      <w:pPr>
        <w:rPr>
          <w:rFonts w:ascii="Calibri" w:hAnsi="Calibri" w:cs="Calibri"/>
        </w:rPr>
      </w:pPr>
    </w:p>
    <w:p w14:paraId="5EAA6813" w14:textId="77777777" w:rsidR="008A7329" w:rsidRDefault="008A7329" w:rsidP="008A7329">
      <w:pPr>
        <w:rPr>
          <w:rFonts w:ascii="Calibri" w:hAnsi="Calibri" w:cs="Calibri"/>
        </w:rPr>
      </w:pPr>
      <w:r>
        <w:rPr>
          <w:rFonts w:ascii="Calibri" w:hAnsi="Calibri" w:cs="Calibri"/>
        </w:rPr>
        <w:t>where D was given by:</w:t>
      </w:r>
    </w:p>
    <w:p w14:paraId="4A6796C4" w14:textId="77777777" w:rsidR="008A7329" w:rsidRDefault="008A7329" w:rsidP="008A7329">
      <w:pPr>
        <w:rPr>
          <w:rFonts w:ascii="Calibri" w:hAnsi="Calibri" w:cs="Calibri"/>
        </w:rPr>
      </w:pPr>
    </w:p>
    <w:p w14:paraId="030FAC55" w14:textId="77777777" w:rsidR="008A7329" w:rsidRDefault="008A7329" w:rsidP="008A7329">
      <w:pPr>
        <w:rPr>
          <w:rFonts w:ascii="Calibri" w:hAnsi="Calibri" w:cs="Calibri"/>
        </w:rPr>
      </w:pPr>
      <w:r w:rsidRPr="004E4FB9">
        <w:rPr>
          <w:position w:val="-24"/>
        </w:rPr>
        <w:object w:dxaOrig="1460" w:dyaOrig="620" w14:anchorId="1F456B98">
          <v:shape id="_x0000_i1026" type="#_x0000_t75" style="width:1in;height:30pt" o:ole="">
            <v:imagedata r:id="rId6" o:title=""/>
          </v:shape>
          <o:OLEObject Type="Embed" ProgID="Equation.DSMT4" ShapeID="_x0000_i1026" DrawAspect="Content" ObjectID="_1796415405" r:id="rId7"/>
        </w:object>
      </w:r>
    </w:p>
    <w:p w14:paraId="0B52E52A" w14:textId="77777777" w:rsidR="008A7329" w:rsidRDefault="008A7329" w:rsidP="008A7329">
      <w:pPr>
        <w:rPr>
          <w:rFonts w:ascii="Calibri" w:hAnsi="Calibri" w:cs="Calibri"/>
        </w:rPr>
      </w:pPr>
    </w:p>
    <w:p w14:paraId="0F16A470" w14:textId="7B1FA490" w:rsidR="00E97C26" w:rsidRDefault="00E97C26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susceptibility</w:t>
      </w:r>
      <w:r w:rsidR="00FD0B34">
        <w:rPr>
          <w:sz w:val="24"/>
          <w:szCs w:val="24"/>
        </w:rPr>
        <w:t xml:space="preserve">, </w:t>
      </w:r>
      <w:r w:rsidR="00FD0B34">
        <w:rPr>
          <w:rFonts w:ascii="Calibri" w:hAnsi="Calibri" w:cs="Calibri"/>
          <w:sz w:val="24"/>
          <w:szCs w:val="24"/>
        </w:rPr>
        <w:t>χ</w:t>
      </w:r>
      <w:r w:rsidR="00FD0B34">
        <w:rPr>
          <w:sz w:val="24"/>
          <w:szCs w:val="24"/>
          <w:vertAlign w:val="subscript"/>
        </w:rPr>
        <w:t>irr</w:t>
      </w:r>
      <w:r w:rsidR="00FD0B34">
        <w:rPr>
          <w:sz w:val="24"/>
          <w:szCs w:val="24"/>
        </w:rPr>
        <w:t>,</w:t>
      </w:r>
      <w:r>
        <w:rPr>
          <w:sz w:val="24"/>
          <w:szCs w:val="24"/>
        </w:rPr>
        <w:t xml:space="preserve"> is defined as the charge density response to </w:t>
      </w:r>
      <w:r w:rsidR="00FD0B34">
        <w:rPr>
          <w:sz w:val="24"/>
          <w:szCs w:val="24"/>
        </w:rPr>
        <w:t xml:space="preserve">an electric field perturbation.  </w:t>
      </w:r>
    </w:p>
    <w:p w14:paraId="73A6D794" w14:textId="77777777" w:rsidR="00FD0B34" w:rsidRDefault="00FD0B34" w:rsidP="001929DC">
      <w:pPr>
        <w:pStyle w:val="NoSpacing"/>
        <w:rPr>
          <w:sz w:val="24"/>
          <w:szCs w:val="24"/>
        </w:rPr>
      </w:pPr>
    </w:p>
    <w:p w14:paraId="131F06BE" w14:textId="10ED94E2" w:rsidR="00FD0B34" w:rsidRDefault="008F6112" w:rsidP="001929DC">
      <w:pPr>
        <w:pStyle w:val="NoSpacing"/>
        <w:rPr>
          <w:sz w:val="24"/>
          <w:szCs w:val="24"/>
        </w:rPr>
      </w:pPr>
      <w:r w:rsidRPr="00E1770D">
        <w:rPr>
          <w:position w:val="-12"/>
        </w:rPr>
        <w:object w:dxaOrig="2980" w:dyaOrig="360" w14:anchorId="725538E5">
          <v:shape id="_x0000_i1027" type="#_x0000_t75" style="width:150pt;height:18pt" o:ole="">
            <v:imagedata r:id="rId8" o:title=""/>
          </v:shape>
          <o:OLEObject Type="Embed" ProgID="Equation.DSMT4" ShapeID="_x0000_i1027" DrawAspect="Content" ObjectID="_1796415406" r:id="rId9"/>
        </w:object>
      </w:r>
    </w:p>
    <w:p w14:paraId="48616BCE" w14:textId="77777777" w:rsidR="00932F38" w:rsidRDefault="00932F38" w:rsidP="001929DC">
      <w:pPr>
        <w:pStyle w:val="NoSpacing"/>
        <w:rPr>
          <w:sz w:val="24"/>
          <w:szCs w:val="24"/>
        </w:rPr>
      </w:pPr>
    </w:p>
    <w:p w14:paraId="6DC3B183" w14:textId="2A9D5CD6" w:rsidR="00743F76" w:rsidRPr="00743F76" w:rsidRDefault="00743F76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But in the faux-Gaussian units we’ll be working in, where 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 xml:space="preserve"> → 1/4π, we’d have:</w:t>
      </w:r>
    </w:p>
    <w:p w14:paraId="0516754F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325249C5" w14:textId="2B51B586" w:rsidR="00743F76" w:rsidRDefault="008F6112" w:rsidP="001929DC">
      <w:pPr>
        <w:pStyle w:val="NoSpacing"/>
        <w:rPr>
          <w:rFonts w:ascii="Calibri" w:hAnsi="Calibri" w:cs="Calibri"/>
          <w:sz w:val="24"/>
          <w:szCs w:val="24"/>
        </w:rPr>
      </w:pPr>
      <w:r w:rsidRPr="00743F76">
        <w:rPr>
          <w:position w:val="-24"/>
        </w:rPr>
        <w:object w:dxaOrig="3120" w:dyaOrig="620" w14:anchorId="28A829B4">
          <v:shape id="_x0000_i1028" type="#_x0000_t75" style="width:156pt;height:30pt" o:ole="">
            <v:imagedata r:id="rId10" o:title=""/>
          </v:shape>
          <o:OLEObject Type="Embed" ProgID="Equation.DSMT4" ShapeID="_x0000_i1028" DrawAspect="Content" ObjectID="_1796415407" r:id="rId11"/>
        </w:object>
      </w:r>
    </w:p>
    <w:p w14:paraId="739C849D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0B5F84CB" w14:textId="24CC5F74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But…then it’s customary to redefine the susceptibility by absorbing the 1/4π into it.  So we’ll say,</w:t>
      </w:r>
    </w:p>
    <w:p w14:paraId="16BDB50F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205A0C04" w14:textId="494272ED" w:rsidR="00743F76" w:rsidRDefault="008F6112" w:rsidP="001929DC">
      <w:pPr>
        <w:pStyle w:val="NoSpacing"/>
        <w:rPr>
          <w:rFonts w:ascii="Calibri" w:hAnsi="Calibri" w:cs="Calibri"/>
          <w:sz w:val="24"/>
          <w:szCs w:val="24"/>
        </w:rPr>
      </w:pPr>
      <w:r w:rsidRPr="00743F76">
        <w:rPr>
          <w:position w:val="-12"/>
        </w:rPr>
        <w:object w:dxaOrig="2780" w:dyaOrig="360" w14:anchorId="4AFCB826">
          <v:shape id="_x0000_i1029" type="#_x0000_t75" style="width:138pt;height:18pt" o:ole="">
            <v:imagedata r:id="rId12" o:title=""/>
          </v:shape>
          <o:OLEObject Type="Embed" ProgID="Equation.DSMT4" ShapeID="_x0000_i1029" DrawAspect="Content" ObjectID="_1796415408" r:id="rId13"/>
        </w:object>
      </w:r>
    </w:p>
    <w:p w14:paraId="4DF4AD14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0D437D4D" w14:textId="0C61E614" w:rsidR="007B2853" w:rsidRDefault="00FD0B34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can wor</w:t>
      </w:r>
      <w:r w:rsidR="008F6112">
        <w:rPr>
          <w:sz w:val="24"/>
          <w:szCs w:val="24"/>
        </w:rPr>
        <w:t>k</w:t>
      </w:r>
      <w:r>
        <w:rPr>
          <w:sz w:val="24"/>
          <w:szCs w:val="24"/>
        </w:rPr>
        <w:t xml:space="preserve"> </w:t>
      </w:r>
      <w:r w:rsidR="008F6112">
        <w:rPr>
          <w:rFonts w:ascii="Calibri" w:hAnsi="Calibri" w:cs="Calibri"/>
          <w:sz w:val="24"/>
          <w:szCs w:val="24"/>
        </w:rPr>
        <w:t>χ</w:t>
      </w:r>
      <w:r w:rsidR="008F6112">
        <w:rPr>
          <w:sz w:val="24"/>
          <w:szCs w:val="24"/>
        </w:rPr>
        <w:t xml:space="preserve"> out </w:t>
      </w:r>
      <w:r>
        <w:rPr>
          <w:sz w:val="24"/>
          <w:szCs w:val="24"/>
        </w:rPr>
        <w:t xml:space="preserve">from our equation.  </w:t>
      </w:r>
      <w:r w:rsidR="008F6112">
        <w:rPr>
          <w:sz w:val="24"/>
          <w:szCs w:val="24"/>
        </w:rPr>
        <w:t>Setting B to zero for simplicity, w</w:t>
      </w:r>
      <w:r w:rsidR="007B2853">
        <w:rPr>
          <w:sz w:val="24"/>
          <w:szCs w:val="24"/>
        </w:rPr>
        <w:t>e have</w:t>
      </w:r>
      <w:r w:rsidR="008F6112">
        <w:rPr>
          <w:sz w:val="24"/>
          <w:szCs w:val="24"/>
        </w:rPr>
        <w:t xml:space="preserve"> (j is synonymous with j</w:t>
      </w:r>
      <w:r w:rsidR="008F6112">
        <w:rPr>
          <w:sz w:val="24"/>
          <w:szCs w:val="24"/>
          <w:vertAlign w:val="subscript"/>
        </w:rPr>
        <w:t>ind</w:t>
      </w:r>
      <w:r w:rsidR="008F6112">
        <w:rPr>
          <w:sz w:val="24"/>
          <w:szCs w:val="24"/>
        </w:rPr>
        <w:t xml:space="preserve">, and </w:t>
      </w:r>
      <w:r w:rsidR="008F6112">
        <w:rPr>
          <w:rFonts w:ascii="Calibri" w:hAnsi="Calibri" w:cs="Calibri"/>
          <w:sz w:val="24"/>
          <w:szCs w:val="24"/>
        </w:rPr>
        <w:t>ρ</w:t>
      </w:r>
      <w:r w:rsidR="008F6112">
        <w:rPr>
          <w:sz w:val="24"/>
          <w:szCs w:val="24"/>
        </w:rPr>
        <w:t xml:space="preserve"> is synonymous with </w:t>
      </w:r>
      <w:r w:rsidR="008F6112">
        <w:rPr>
          <w:rFonts w:ascii="Calibri" w:hAnsi="Calibri" w:cs="Calibri"/>
          <w:sz w:val="24"/>
          <w:szCs w:val="24"/>
        </w:rPr>
        <w:t>ρ</w:t>
      </w:r>
      <w:r w:rsidR="008F6112">
        <w:rPr>
          <w:sz w:val="24"/>
          <w:szCs w:val="24"/>
          <w:vertAlign w:val="subscript"/>
        </w:rPr>
        <w:t>ind</w:t>
      </w:r>
      <w:r w:rsidR="008F6112">
        <w:rPr>
          <w:sz w:val="24"/>
          <w:szCs w:val="24"/>
        </w:rPr>
        <w:t>; we’re assuming no free charge)</w:t>
      </w:r>
      <w:r w:rsidR="007B2853">
        <w:rPr>
          <w:sz w:val="24"/>
          <w:szCs w:val="24"/>
        </w:rPr>
        <w:t>:</w:t>
      </w:r>
    </w:p>
    <w:p w14:paraId="712AAE63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0D710DBE" w14:textId="0968416B" w:rsidR="007B2853" w:rsidRDefault="008F6112" w:rsidP="007B2853">
      <w:pPr>
        <w:pStyle w:val="NoSpacing"/>
        <w:rPr>
          <w:sz w:val="24"/>
          <w:szCs w:val="24"/>
        </w:rPr>
      </w:pPr>
      <w:r w:rsidRPr="00041901">
        <w:rPr>
          <w:position w:val="-64"/>
        </w:rPr>
        <w:object w:dxaOrig="4239" w:dyaOrig="1400" w14:anchorId="4AF6B34C">
          <v:shape id="_x0000_i1030" type="#_x0000_t75" style="width:210pt;height:1in" o:ole="">
            <v:imagedata r:id="rId14" o:title=""/>
          </v:shape>
          <o:OLEObject Type="Embed" ProgID="Equation.DSMT4" ShapeID="_x0000_i1030" DrawAspect="Content" ObjectID="_1796415409" r:id="rId15"/>
        </w:object>
      </w:r>
    </w:p>
    <w:p w14:paraId="4528FC94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06E8957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Well we need to relate j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>.  We have the continuity equation,</w:t>
      </w:r>
    </w:p>
    <w:p w14:paraId="3B97A4B3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4396358D" w14:textId="77777777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  <w:sz w:val="24"/>
          <w:szCs w:val="24"/>
        </w:rPr>
        <w:object w:dxaOrig="1760" w:dyaOrig="620" w14:anchorId="75494C03">
          <v:shape id="_x0000_i1031" type="#_x0000_t75" style="width:90pt;height:30pt" o:ole="">
            <v:imagedata r:id="rId16" o:title=""/>
          </v:shape>
          <o:OLEObject Type="Embed" ProgID="Equation.DSMT4" ShapeID="_x0000_i1031" DrawAspect="Content" ObjectID="_1796415410" r:id="rId17"/>
        </w:object>
      </w:r>
    </w:p>
    <w:p w14:paraId="749149D8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04CAEBB1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let’s take the divergence of both sides of our RTA equation,</w:t>
      </w:r>
    </w:p>
    <w:p w14:paraId="77C0A177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33FF4CF7" w14:textId="739B2576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</w:rPr>
        <w:object w:dxaOrig="4440" w:dyaOrig="660" w14:anchorId="17F61464">
          <v:shape id="_x0000_i1032" type="#_x0000_t75" style="width:222pt;height:36pt" o:ole="">
            <v:imagedata r:id="rId18" o:title=""/>
          </v:shape>
          <o:OLEObject Type="Embed" ProgID="Equation.DSMT4" ShapeID="_x0000_i1032" DrawAspect="Content" ObjectID="_1796415411" r:id="rId19"/>
        </w:object>
      </w:r>
    </w:p>
    <w:p w14:paraId="64386796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62EAC6BF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Then we can say,</w:t>
      </w:r>
    </w:p>
    <w:p w14:paraId="63D784BF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E0C7AC9" w14:textId="19B26CA4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</w:rPr>
        <w:object w:dxaOrig="4140" w:dyaOrig="660" w14:anchorId="5678F933">
          <v:shape id="_x0000_i1033" type="#_x0000_t75" style="width:204pt;height:36pt" o:ole="">
            <v:imagedata r:id="rId20" o:title=""/>
          </v:shape>
          <o:OLEObject Type="Embed" ProgID="Equation.DSMT4" ShapeID="_x0000_i1033" DrawAspect="Content" ObjectID="_1796415412" r:id="rId21"/>
        </w:object>
      </w:r>
    </w:p>
    <w:p w14:paraId="1FCF6456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7248FF9F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fill in our expressions for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>,</w:t>
      </w:r>
    </w:p>
    <w:p w14:paraId="7583626E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4C6416E9" w14:textId="287EE155" w:rsidR="007B2853" w:rsidRDefault="007B2853" w:rsidP="007B2853">
      <w:pPr>
        <w:pStyle w:val="NoSpacing"/>
        <w:rPr>
          <w:sz w:val="24"/>
          <w:szCs w:val="24"/>
        </w:rPr>
      </w:pPr>
      <w:r w:rsidRPr="009640D2">
        <w:rPr>
          <w:position w:val="-132"/>
        </w:rPr>
        <w:object w:dxaOrig="10219" w:dyaOrig="2760" w14:anchorId="79FCEE31">
          <v:shape id="_x0000_i1034" type="#_x0000_t75" style="width:510pt;height:138pt" o:ole="">
            <v:imagedata r:id="rId22" o:title=""/>
          </v:shape>
          <o:OLEObject Type="Embed" ProgID="Equation.DSMT4" ShapeID="_x0000_i1034" DrawAspect="Content" ObjectID="_1796415413" r:id="rId23"/>
        </w:object>
      </w:r>
    </w:p>
    <w:p w14:paraId="36CFD9B6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EDFF8A0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51520657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2CA06E1" w14:textId="5B9AA7FC" w:rsidR="007B2853" w:rsidRDefault="007B2853" w:rsidP="007B2853">
      <w:pPr>
        <w:pStyle w:val="NoSpacing"/>
      </w:pPr>
      <w:r w:rsidRPr="0049190E">
        <w:rPr>
          <w:position w:val="-68"/>
        </w:rPr>
        <w:object w:dxaOrig="4459" w:dyaOrig="1480" w14:anchorId="774AD7BE">
          <v:shape id="_x0000_i1035" type="#_x0000_t75" style="width:222pt;height:1in" o:ole="">
            <v:imagedata r:id="rId24" o:title=""/>
          </v:shape>
          <o:OLEObject Type="Embed" ProgID="Equation.DSMT4" ShapeID="_x0000_i1035" DrawAspect="Content" ObjectID="_1796415414" r:id="rId25"/>
        </w:object>
      </w:r>
    </w:p>
    <w:p w14:paraId="6290E04A" w14:textId="77777777" w:rsidR="007B2853" w:rsidRDefault="007B2853" w:rsidP="007B2853">
      <w:pPr>
        <w:pStyle w:val="NoSpacing"/>
      </w:pPr>
    </w:p>
    <w:p w14:paraId="770907EA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Filling in D = 2</w:t>
      </w:r>
      <w:r>
        <w:rPr>
          <w:rFonts w:ascii="Calibri" w:hAnsi="Calibri" w:cs="Calibri"/>
          <w:sz w:val="24"/>
          <w:szCs w:val="24"/>
        </w:rPr>
        <w:t>τ</w:t>
      </w:r>
      <w:r>
        <w:rPr>
          <w:rFonts w:ascii="Calibri" w:hAnsi="Calibri" w:cs="Calibri"/>
          <w:sz w:val="24"/>
          <w:szCs w:val="24"/>
          <w:vertAlign w:val="subscript"/>
        </w:rPr>
        <w:t>sc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F</w:t>
      </w:r>
      <w:r>
        <w:rPr>
          <w:rFonts w:ascii="Calibri" w:hAnsi="Calibri" w:cs="Calibri"/>
          <w:sz w:val="24"/>
          <w:szCs w:val="24"/>
        </w:rPr>
        <w:t>/3m</w:t>
      </w:r>
      <w:r>
        <w:rPr>
          <w:sz w:val="24"/>
          <w:szCs w:val="24"/>
        </w:rPr>
        <w:t xml:space="preserve"> again, we’ll get:</w:t>
      </w:r>
    </w:p>
    <w:p w14:paraId="308180DD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733964A4" w14:textId="64C468B4" w:rsidR="007B2853" w:rsidRDefault="00E6107E" w:rsidP="007B2853">
      <w:pPr>
        <w:pStyle w:val="NoSpacing"/>
        <w:rPr>
          <w:sz w:val="24"/>
          <w:szCs w:val="24"/>
        </w:rPr>
      </w:pPr>
      <w:r w:rsidRPr="00E6107E">
        <w:rPr>
          <w:position w:val="-178"/>
        </w:rPr>
        <w:object w:dxaOrig="6000" w:dyaOrig="4340" w14:anchorId="0DC26E2A">
          <v:shape id="_x0000_i1036" type="#_x0000_t75" style="width:300pt;height:3in" o:ole="">
            <v:imagedata r:id="rId26" o:title=""/>
          </v:shape>
          <o:OLEObject Type="Embed" ProgID="Equation.DSMT4" ShapeID="_x0000_i1036" DrawAspect="Content" ObjectID="_1796415415" r:id="rId27"/>
        </w:object>
      </w:r>
    </w:p>
    <w:p w14:paraId="7A865045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6F69CEB5" w14:textId="283B86C1" w:rsidR="007B2853" w:rsidRDefault="00E6107E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 we end up with,</w:t>
      </w:r>
    </w:p>
    <w:p w14:paraId="2B1BB94B" w14:textId="77777777" w:rsidR="00E6107E" w:rsidRDefault="00E6107E" w:rsidP="001929DC">
      <w:pPr>
        <w:pStyle w:val="NoSpacing"/>
        <w:rPr>
          <w:sz w:val="24"/>
          <w:szCs w:val="24"/>
        </w:rPr>
      </w:pPr>
    </w:p>
    <w:p w14:paraId="5CAAE423" w14:textId="3F42289B" w:rsidR="00E6107E" w:rsidRDefault="008F6112" w:rsidP="001929DC">
      <w:pPr>
        <w:pStyle w:val="NoSpacing"/>
        <w:rPr>
          <w:sz w:val="24"/>
          <w:szCs w:val="24"/>
        </w:rPr>
      </w:pPr>
      <w:r w:rsidRPr="0049190E">
        <w:rPr>
          <w:position w:val="-30"/>
        </w:rPr>
        <w:object w:dxaOrig="10060" w:dyaOrig="720" w14:anchorId="102989E3">
          <v:shape id="_x0000_i1037" type="#_x0000_t75" style="width:7in;height:36pt" o:ole="" filled="t" fillcolor="#cfc">
            <v:imagedata r:id="rId28" o:title=""/>
          </v:shape>
          <o:OLEObject Type="Embed" ProgID="Equation.DSMT4" ShapeID="_x0000_i1037" DrawAspect="Content" ObjectID="_1796415416" r:id="rId29"/>
        </w:object>
      </w:r>
    </w:p>
    <w:bookmarkEnd w:id="0"/>
    <w:p w14:paraId="4A926A13" w14:textId="77777777" w:rsidR="007B2853" w:rsidRDefault="007B2853" w:rsidP="001929DC">
      <w:pPr>
        <w:pStyle w:val="NoSpacing"/>
        <w:rPr>
          <w:sz w:val="24"/>
          <w:szCs w:val="24"/>
        </w:rPr>
      </w:pPr>
    </w:p>
    <w:p w14:paraId="17E8F99A" w14:textId="7B18AAAB" w:rsidR="003F3DBB" w:rsidRDefault="003F3DBB" w:rsidP="001929DC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Not calculating the dielectric function, because technically, with no e-e interactions, the dielectric function would be just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 xml:space="preserve"> or whatever.  </w:t>
      </w:r>
    </w:p>
    <w:p w14:paraId="3C710BDA" w14:textId="77777777" w:rsidR="00DF3F9B" w:rsidRPr="003F3DBB" w:rsidRDefault="00DF3F9B" w:rsidP="001929DC">
      <w:pPr>
        <w:pStyle w:val="NoSpacing"/>
        <w:rPr>
          <w:sz w:val="24"/>
          <w:szCs w:val="24"/>
        </w:rPr>
      </w:pPr>
    </w:p>
    <w:sectPr w:rsidR="00DF3F9B" w:rsidRPr="003F3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AF"/>
    <w:rsid w:val="000106AB"/>
    <w:rsid w:val="00041901"/>
    <w:rsid w:val="000841CB"/>
    <w:rsid w:val="00085BC2"/>
    <w:rsid w:val="00087059"/>
    <w:rsid w:val="00097B43"/>
    <w:rsid w:val="000F1887"/>
    <w:rsid w:val="00120563"/>
    <w:rsid w:val="00133166"/>
    <w:rsid w:val="00151818"/>
    <w:rsid w:val="001929DC"/>
    <w:rsid w:val="001A7D47"/>
    <w:rsid w:val="001B02B9"/>
    <w:rsid w:val="001F5CB8"/>
    <w:rsid w:val="00203C41"/>
    <w:rsid w:val="002076A6"/>
    <w:rsid w:val="002B7504"/>
    <w:rsid w:val="002D067E"/>
    <w:rsid w:val="003572BF"/>
    <w:rsid w:val="003B2AF0"/>
    <w:rsid w:val="003C5696"/>
    <w:rsid w:val="003F3DBB"/>
    <w:rsid w:val="00406B7E"/>
    <w:rsid w:val="004349E5"/>
    <w:rsid w:val="00434A71"/>
    <w:rsid w:val="00435C82"/>
    <w:rsid w:val="00442B8E"/>
    <w:rsid w:val="0049190E"/>
    <w:rsid w:val="004A1B3B"/>
    <w:rsid w:val="004B39D7"/>
    <w:rsid w:val="004C48A7"/>
    <w:rsid w:val="00581959"/>
    <w:rsid w:val="005B47DB"/>
    <w:rsid w:val="006111FE"/>
    <w:rsid w:val="00654EA6"/>
    <w:rsid w:val="006C6EBB"/>
    <w:rsid w:val="0072594A"/>
    <w:rsid w:val="007259AF"/>
    <w:rsid w:val="00737C4A"/>
    <w:rsid w:val="00743F76"/>
    <w:rsid w:val="007452CC"/>
    <w:rsid w:val="0078789E"/>
    <w:rsid w:val="007A16C9"/>
    <w:rsid w:val="007B2853"/>
    <w:rsid w:val="007C1A5E"/>
    <w:rsid w:val="007D0EA7"/>
    <w:rsid w:val="007E750F"/>
    <w:rsid w:val="007F1B0C"/>
    <w:rsid w:val="00874286"/>
    <w:rsid w:val="00881AD9"/>
    <w:rsid w:val="00886BF7"/>
    <w:rsid w:val="00896C0E"/>
    <w:rsid w:val="008A3F15"/>
    <w:rsid w:val="008A7329"/>
    <w:rsid w:val="008C1426"/>
    <w:rsid w:val="008F4027"/>
    <w:rsid w:val="008F6112"/>
    <w:rsid w:val="009005D1"/>
    <w:rsid w:val="00924B44"/>
    <w:rsid w:val="009302DE"/>
    <w:rsid w:val="00932F38"/>
    <w:rsid w:val="00934BDC"/>
    <w:rsid w:val="009437D2"/>
    <w:rsid w:val="009640D2"/>
    <w:rsid w:val="00991956"/>
    <w:rsid w:val="009A4C81"/>
    <w:rsid w:val="009C35CC"/>
    <w:rsid w:val="009C3759"/>
    <w:rsid w:val="009D2741"/>
    <w:rsid w:val="009D5095"/>
    <w:rsid w:val="009D79B1"/>
    <w:rsid w:val="009E3FC7"/>
    <w:rsid w:val="009E4381"/>
    <w:rsid w:val="009F0040"/>
    <w:rsid w:val="00AB1C86"/>
    <w:rsid w:val="00AF4921"/>
    <w:rsid w:val="00B123D0"/>
    <w:rsid w:val="00B14892"/>
    <w:rsid w:val="00B754E2"/>
    <w:rsid w:val="00B8614E"/>
    <w:rsid w:val="00BC4112"/>
    <w:rsid w:val="00BC4870"/>
    <w:rsid w:val="00CB1C51"/>
    <w:rsid w:val="00CD0735"/>
    <w:rsid w:val="00CE7F85"/>
    <w:rsid w:val="00D12073"/>
    <w:rsid w:val="00D712DC"/>
    <w:rsid w:val="00DC0A02"/>
    <w:rsid w:val="00DC0A87"/>
    <w:rsid w:val="00DF3F9B"/>
    <w:rsid w:val="00E25C93"/>
    <w:rsid w:val="00E36CFF"/>
    <w:rsid w:val="00E41889"/>
    <w:rsid w:val="00E508A4"/>
    <w:rsid w:val="00E56782"/>
    <w:rsid w:val="00E6107E"/>
    <w:rsid w:val="00E631EB"/>
    <w:rsid w:val="00E97C26"/>
    <w:rsid w:val="00F70ED3"/>
    <w:rsid w:val="00F82061"/>
    <w:rsid w:val="00FA77CE"/>
    <w:rsid w:val="00FB126A"/>
    <w:rsid w:val="00FC32AC"/>
    <w:rsid w:val="00FC7C2C"/>
    <w:rsid w:val="00FD0B34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19D1"/>
  <w15:chartTrackingRefBased/>
  <w15:docId w15:val="{3A0BCF87-FF91-429F-A206-786B6EDF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929DC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E97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50</cp:revision>
  <dcterms:created xsi:type="dcterms:W3CDTF">2019-08-06T01:51:00Z</dcterms:created>
  <dcterms:modified xsi:type="dcterms:W3CDTF">2024-12-23T04:30:00Z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